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73" w:rsidRPr="00083673" w:rsidRDefault="00083673" w:rsidP="00083673">
      <w:pPr>
        <w:pStyle w:val="a3"/>
        <w:shd w:val="clear" w:color="auto" w:fill="FFFFFF"/>
        <w:spacing w:before="0" w:beforeAutospacing="0"/>
        <w:jc w:val="center"/>
        <w:rPr>
          <w:rFonts w:ascii="Roboto" w:hAnsi="Roboto"/>
          <w:b/>
          <w:color w:val="333333"/>
          <w:sz w:val="28"/>
          <w:szCs w:val="28"/>
        </w:rPr>
      </w:pPr>
      <w:r w:rsidRPr="00083673">
        <w:rPr>
          <w:rFonts w:ascii="Roboto" w:hAnsi="Roboto"/>
          <w:b/>
          <w:color w:val="333333"/>
          <w:sz w:val="28"/>
          <w:szCs w:val="28"/>
        </w:rPr>
        <w:t>Внесены изменения в Налоговый кодекс Российской Федерации</w:t>
      </w:r>
    </w:p>
    <w:p w:rsidR="00083673" w:rsidRDefault="00083673" w:rsidP="00083673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</w:p>
    <w:p w:rsidR="00C95D16" w:rsidRDefault="00C95D16" w:rsidP="00083673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Федеральным законом от 26.03.2022 № 67-ФЗ внесены изменения в часть первую и вторую Налогового кодекса Российской Федерации.</w:t>
      </w:r>
    </w:p>
    <w:p w:rsidR="00C95D16" w:rsidRDefault="00C95D16" w:rsidP="00083673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частности, на период с 9 марта 2022 года до конца 2023 года отменено применение повышенного размера пени, установленного с 31 дня просрочки исполнения организацией обязанности по уплате налога.</w:t>
      </w:r>
    </w:p>
    <w:p w:rsidR="00C95D16" w:rsidRDefault="00C95D16" w:rsidP="00083673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Кроме того, теперь сделки между взаимозависимыми лицами признаются контролируемыми, если сумма доходов по таким сделкам с одним лицом (лицами) за соответствующий период превышает 120 млн. рублей вместо ранее установленных 60 млн. рублей.</w:t>
      </w:r>
    </w:p>
    <w:p w:rsidR="00C95D16" w:rsidRDefault="00C95D16" w:rsidP="00083673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Установлена и ставка НДС 0% в отношении услуг по предоставлению мест для временного проживания в гостиницах и иных средствах размещения, сроком на 5 лет, а также в отношении услуг по предоставлению в аренду объекта туристической индустрии, введенного в эксплуатацию после 1 января 2022 г., в течение 20 налоговых периодов с момента ввода объекта в эксплуатацию.</w:t>
      </w:r>
    </w:p>
    <w:p w:rsidR="00C95D16" w:rsidRDefault="00C95D16" w:rsidP="00083673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Предусмотрена возможность применения заявительного порядка возмещения сумм налога на добавленную стоимость за налоговые периоды 2022 и 2023 годов организациями, не находящимися в процедуре банкротства или процессе реорганизации.</w:t>
      </w:r>
    </w:p>
    <w:p w:rsidR="00C95D16" w:rsidRDefault="00C95D16" w:rsidP="00083673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Освобождены от налога на доходы физических лиц некоторые виды доходов (в частности, от экономии на процентах за пользование заемными средствами, процентов по вкладам за налоговые периоды 2021 - 2022 и др.), а также скорректирован порядок налогообложения на доходы физических лиц с операций с ценными бумагами.</w:t>
      </w:r>
    </w:p>
    <w:p w:rsidR="00C95D16" w:rsidRDefault="00C95D16" w:rsidP="00083673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Изменен и установленный порядок начисления транспортного налога. Внесенными из</w:t>
      </w:r>
      <w:bookmarkStart w:id="0" w:name="_GoBack"/>
      <w:bookmarkEnd w:id="0"/>
      <w:r>
        <w:rPr>
          <w:rFonts w:ascii="Roboto" w:hAnsi="Roboto"/>
          <w:color w:val="333333"/>
          <w:sz w:val="28"/>
          <w:szCs w:val="28"/>
        </w:rPr>
        <w:t>менениями предусмотрено применение повышающего коэффициента для транспортных средств стоимостью свыше 10 млн. рублей вместо ранее установленного размера в 3 млн. рублей.</w:t>
      </w:r>
    </w:p>
    <w:p w:rsidR="00083673" w:rsidRDefault="00083673" w:rsidP="0008367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</w:p>
    <w:p w:rsidR="00083673" w:rsidRDefault="00083673" w:rsidP="0008367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 xml:space="preserve">Старший помощник Слободского </w:t>
      </w:r>
    </w:p>
    <w:p w:rsidR="00083673" w:rsidRDefault="00083673" w:rsidP="0008367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межрайонного прокурора </w:t>
      </w:r>
      <w:r>
        <w:rPr>
          <w:rFonts w:ascii="Roboto" w:hAnsi="Roboto"/>
          <w:color w:val="333333"/>
          <w:sz w:val="28"/>
          <w:szCs w:val="28"/>
        </w:rPr>
        <w:tab/>
      </w:r>
      <w:r>
        <w:rPr>
          <w:rFonts w:ascii="Roboto" w:hAnsi="Roboto"/>
          <w:color w:val="333333"/>
          <w:sz w:val="28"/>
          <w:szCs w:val="28"/>
        </w:rPr>
        <w:tab/>
      </w:r>
      <w:r>
        <w:rPr>
          <w:rFonts w:ascii="Roboto" w:hAnsi="Roboto"/>
          <w:color w:val="333333"/>
          <w:sz w:val="28"/>
          <w:szCs w:val="28"/>
        </w:rPr>
        <w:tab/>
      </w:r>
      <w:r>
        <w:rPr>
          <w:rFonts w:ascii="Roboto" w:hAnsi="Roboto"/>
          <w:color w:val="333333"/>
          <w:sz w:val="28"/>
          <w:szCs w:val="28"/>
        </w:rPr>
        <w:tab/>
      </w:r>
      <w:r>
        <w:rPr>
          <w:rFonts w:ascii="Roboto" w:hAnsi="Roboto"/>
          <w:color w:val="333333"/>
          <w:sz w:val="28"/>
          <w:szCs w:val="28"/>
        </w:rPr>
        <w:tab/>
      </w:r>
      <w:r>
        <w:rPr>
          <w:rFonts w:ascii="Roboto" w:hAnsi="Roboto"/>
          <w:color w:val="333333"/>
          <w:sz w:val="28"/>
          <w:szCs w:val="28"/>
        </w:rPr>
        <w:tab/>
        <w:t>Д. Ю. Исупов</w:t>
      </w:r>
    </w:p>
    <w:p w:rsidR="00F300F7" w:rsidRDefault="00F300F7"/>
    <w:sectPr w:rsidR="00F3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A8"/>
    <w:rsid w:val="00083673"/>
    <w:rsid w:val="00C95D16"/>
    <w:rsid w:val="00F300F7"/>
    <w:rsid w:val="00F4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4D71"/>
  <w15:chartTrackingRefBased/>
  <w15:docId w15:val="{18C8529E-4C68-455B-ABC0-06ADA26F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3</cp:revision>
  <dcterms:created xsi:type="dcterms:W3CDTF">2022-05-23T14:25:00Z</dcterms:created>
  <dcterms:modified xsi:type="dcterms:W3CDTF">2022-06-08T12:56:00Z</dcterms:modified>
</cp:coreProperties>
</file>